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FC2" w:rsidRDefault="00264FC2" w:rsidP="00CD6B25">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Annex III</w:t>
      </w:r>
    </w:p>
    <w:p w:rsidR="00CD6B25" w:rsidRDefault="00CF430B" w:rsidP="00CD6B25">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S.36.04</w:t>
      </w:r>
      <w:r w:rsidR="00CD6B25" w:rsidRPr="003F012E">
        <w:rPr>
          <w:rFonts w:ascii="Times New Roman" w:eastAsia="Times New Roman" w:hAnsi="Times New Roman" w:cs="Times New Roman"/>
          <w:b/>
          <w:bCs/>
          <w:sz w:val="20"/>
          <w:szCs w:val="20"/>
          <w:lang w:eastAsia="en-GB"/>
        </w:rPr>
        <w:t xml:space="preserve"> - IGT Internal Cost Sharing, Contingent Liabilities (other than derivatives) &amp; Off Balance Sheet Items and Other Types of IGT</w:t>
      </w:r>
    </w:p>
    <w:p w:rsidR="004B6696" w:rsidRPr="003F012E" w:rsidRDefault="004B6696" w:rsidP="00CD6B25">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General comments:</w:t>
      </w:r>
    </w:p>
    <w:p w:rsidR="0024056D" w:rsidRPr="008B28ED" w:rsidRDefault="0024056D" w:rsidP="0024056D">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4056D" w:rsidRDefault="0024056D" w:rsidP="0024056D">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5E05DA" w:rsidRPr="002E5506" w:rsidRDefault="005E05DA" w:rsidP="002E5506">
      <w:pPr>
        <w:suppressAutoHyphens/>
        <w:snapToGrid w:val="0"/>
        <w:spacing w:after="0" w:line="240" w:lineRule="auto"/>
        <w:ind w:left="28" w:firstLine="5"/>
        <w:jc w:val="both"/>
        <w:rPr>
          <w:rFonts w:ascii="Times New Roman" w:hAnsi="Times New Roman" w:cs="Times New Roman"/>
          <w:sz w:val="20"/>
          <w:szCs w:val="20"/>
        </w:rPr>
      </w:pPr>
      <w:r w:rsidRPr="002E5506">
        <w:rPr>
          <w:rFonts w:ascii="Times New Roman" w:hAnsi="Times New Roman" w:cs="Times New Roman"/>
          <w:sz w:val="20"/>
          <w:szCs w:val="20"/>
        </w:rPr>
        <w:t>The purpose of this template is to collect information on all other IGTs (significant, very significant and transactions required to be reported in all circumstances) which have not been captured in 36.01 to 36.03 templates</w:t>
      </w:r>
      <w:r w:rsidR="004B4E1C">
        <w:rPr>
          <w:rFonts w:ascii="Times New Roman" w:hAnsi="Times New Roman" w:cs="Times New Roman"/>
          <w:sz w:val="20"/>
          <w:szCs w:val="20"/>
        </w:rPr>
        <w:t xml:space="preserve"> </w:t>
      </w:r>
      <w:r w:rsidR="004B4E1C" w:rsidRPr="00D67CB4">
        <w:rPr>
          <w:rFonts w:ascii="Times New Roman" w:hAnsi="Times New Roman" w:cs="Times New Roman"/>
          <w:sz w:val="20"/>
          <w:szCs w:val="20"/>
        </w:rPr>
        <w:t>within the group according to article 213 (2) (a)</w:t>
      </w:r>
      <w:r w:rsidR="004B4E1C">
        <w:rPr>
          <w:rFonts w:ascii="Times New Roman" w:hAnsi="Times New Roman" w:cs="Times New Roman"/>
          <w:sz w:val="20"/>
          <w:szCs w:val="20"/>
        </w:rPr>
        <w:t xml:space="preserve"> </w:t>
      </w:r>
      <w:r w:rsidR="00264FC2">
        <w:rPr>
          <w:rFonts w:ascii="Times New Roman" w:hAnsi="Times New Roman" w:cs="Times New Roman"/>
          <w:sz w:val="20"/>
          <w:szCs w:val="20"/>
        </w:rPr>
        <w:t>to</w:t>
      </w:r>
      <w:r w:rsidR="004B4E1C" w:rsidRPr="00D67CB4">
        <w:rPr>
          <w:rFonts w:ascii="Times New Roman" w:hAnsi="Times New Roman" w:cs="Times New Roman"/>
          <w:sz w:val="20"/>
          <w:szCs w:val="20"/>
        </w:rPr>
        <w:t xml:space="preserve"> (c) of Directive 2009/138/EC</w:t>
      </w:r>
      <w:r w:rsidRPr="002E5506">
        <w:rPr>
          <w:rFonts w:ascii="Times New Roman" w:hAnsi="Times New Roman" w:cs="Times New Roman"/>
          <w:sz w:val="20"/>
          <w:szCs w:val="20"/>
        </w:rPr>
        <w:t xml:space="preserve">. These include, but not limited to: </w:t>
      </w:r>
    </w:p>
    <w:p w:rsidR="005E05DA" w:rsidRPr="002E5506" w:rsidRDefault="005E05DA" w:rsidP="002E5506">
      <w:pPr>
        <w:pStyle w:val="ListParagraph"/>
        <w:numPr>
          <w:ilvl w:val="0"/>
          <w:numId w:val="5"/>
        </w:numPr>
        <w:suppressAutoHyphens/>
        <w:snapToGrid w:val="0"/>
        <w:spacing w:after="0" w:line="240" w:lineRule="auto"/>
        <w:rPr>
          <w:rFonts w:ascii="Times New Roman" w:hAnsi="Times New Roman" w:cs="Times New Roman"/>
          <w:sz w:val="20"/>
          <w:szCs w:val="20"/>
        </w:rPr>
      </w:pPr>
      <w:r w:rsidRPr="002E5506">
        <w:rPr>
          <w:rFonts w:ascii="Times New Roman" w:hAnsi="Times New Roman" w:cs="Times New Roman"/>
          <w:sz w:val="20"/>
          <w:szCs w:val="20"/>
        </w:rPr>
        <w:t>Internal cost sharing;</w:t>
      </w:r>
    </w:p>
    <w:p w:rsidR="005E05DA" w:rsidRPr="002E5506" w:rsidRDefault="005E05DA" w:rsidP="002E5506">
      <w:pPr>
        <w:pStyle w:val="ListParagraph"/>
        <w:numPr>
          <w:ilvl w:val="0"/>
          <w:numId w:val="5"/>
        </w:numPr>
        <w:suppressAutoHyphens/>
        <w:snapToGrid w:val="0"/>
        <w:spacing w:after="0" w:line="240" w:lineRule="auto"/>
        <w:rPr>
          <w:rFonts w:ascii="Times New Roman" w:hAnsi="Times New Roman" w:cs="Times New Roman"/>
          <w:sz w:val="20"/>
          <w:szCs w:val="20"/>
        </w:rPr>
      </w:pPr>
      <w:r w:rsidRPr="002E5506">
        <w:rPr>
          <w:rFonts w:ascii="Times New Roman" w:hAnsi="Times New Roman" w:cs="Times New Roman"/>
          <w:sz w:val="20"/>
          <w:szCs w:val="20"/>
        </w:rPr>
        <w:t>Contingent liabilities (other than derivatives);</w:t>
      </w:r>
    </w:p>
    <w:p w:rsidR="005E05DA" w:rsidRPr="002E5506" w:rsidRDefault="005E05DA" w:rsidP="002E5506">
      <w:pPr>
        <w:pStyle w:val="ListParagraph"/>
        <w:numPr>
          <w:ilvl w:val="0"/>
          <w:numId w:val="5"/>
        </w:numPr>
        <w:suppressAutoHyphens/>
        <w:snapToGrid w:val="0"/>
        <w:spacing w:after="0" w:line="240" w:lineRule="auto"/>
        <w:rPr>
          <w:rFonts w:ascii="Times New Roman" w:hAnsi="Times New Roman" w:cs="Times New Roman"/>
          <w:sz w:val="20"/>
          <w:szCs w:val="20"/>
        </w:rPr>
      </w:pPr>
      <w:r w:rsidRPr="002E5506">
        <w:rPr>
          <w:rFonts w:ascii="Times New Roman" w:hAnsi="Times New Roman" w:cs="Times New Roman"/>
          <w:sz w:val="20"/>
          <w:szCs w:val="20"/>
        </w:rPr>
        <w:t xml:space="preserve">Off balance sheet guarantees; </w:t>
      </w:r>
    </w:p>
    <w:p w:rsidR="00504BAB" w:rsidRPr="002E5506" w:rsidRDefault="005E05DA" w:rsidP="002E5506">
      <w:pPr>
        <w:pStyle w:val="ListParagraph"/>
        <w:numPr>
          <w:ilvl w:val="0"/>
          <w:numId w:val="5"/>
        </w:numPr>
        <w:suppressAutoHyphens/>
        <w:snapToGrid w:val="0"/>
        <w:spacing w:after="0" w:line="240" w:lineRule="auto"/>
        <w:rPr>
          <w:rFonts w:ascii="Times New Roman" w:hAnsi="Times New Roman" w:cs="Times New Roman"/>
          <w:sz w:val="20"/>
          <w:szCs w:val="20"/>
        </w:rPr>
      </w:pPr>
      <w:r w:rsidRPr="002E5506">
        <w:rPr>
          <w:rFonts w:ascii="Times New Roman" w:hAnsi="Times New Roman" w:cs="Times New Roman"/>
          <w:sz w:val="20"/>
          <w:szCs w:val="20"/>
        </w:rPr>
        <w:t>Any other transactions between related undertakings or natural persons in scope of the group supervision</w:t>
      </w:r>
      <w:r w:rsidR="00504BAB" w:rsidRPr="002E5506">
        <w:rPr>
          <w:rFonts w:ascii="Times New Roman" w:hAnsi="Times New Roman" w:cs="Times New Roman"/>
          <w:sz w:val="20"/>
          <w:szCs w:val="20"/>
        </w:rPr>
        <w:t>.</w:t>
      </w:r>
    </w:p>
    <w:p w:rsidR="00504BAB" w:rsidRPr="008C309E" w:rsidRDefault="00504BAB" w:rsidP="00504BAB">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504BAB" w:rsidRPr="008C309E" w:rsidRDefault="00504BAB" w:rsidP="00516477">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Pr="008C309E">
        <w:rPr>
          <w:rFonts w:ascii="Times New Roman" w:hAnsi="Times New Roman" w:cs="Times New Roman"/>
          <w:sz w:val="20"/>
          <w:szCs w:val="20"/>
        </w:rPr>
        <w:t>roups are expected to complete this template for all significant, very significant and transactions required to be reported in all circumstances for IGTs between</w:t>
      </w:r>
      <w:r w:rsidR="00516477" w:rsidRPr="00516477">
        <w:rPr>
          <w:rFonts w:ascii="Times New Roman" w:hAnsi="Times New Roman" w:cs="Times New Roman"/>
          <w:sz w:val="20"/>
          <w:szCs w:val="20"/>
        </w:rPr>
        <w:t xml:space="preserve"> </w:t>
      </w:r>
      <w:r w:rsidR="00516477" w:rsidRPr="00FA6543">
        <w:rPr>
          <w:rFonts w:ascii="Times New Roman" w:hAnsi="Times New Roman" w:cs="Times New Roman"/>
          <w:sz w:val="20"/>
          <w:szCs w:val="20"/>
        </w:rPr>
        <w:t>the individual undertaking and the mixed-activity insurance holding company and its related undertakings</w:t>
      </w:r>
      <w:r w:rsidRPr="008C309E">
        <w:rPr>
          <w:rFonts w:ascii="Times New Roman" w:hAnsi="Times New Roman" w:cs="Times New Roman"/>
          <w:sz w:val="20"/>
          <w:szCs w:val="20"/>
        </w:rPr>
        <w:t>.</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504BAB" w:rsidRPr="008C309E" w:rsidRDefault="00504BAB" w:rsidP="00504BAB">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r w:rsidR="0028217C">
        <w:rPr>
          <w:rFonts w:ascii="Times New Roman" w:hAnsi="Times New Roman" w:cs="Times New Roman"/>
          <w:sz w:val="20"/>
          <w:szCs w:val="20"/>
        </w:rPr>
        <w:t xml:space="preserve">individually </w:t>
      </w:r>
      <w:r w:rsidRPr="008C309E">
        <w:rPr>
          <w:rFonts w:ascii="Times New Roman" w:hAnsi="Times New Roman" w:cs="Times New Roman"/>
          <w:sz w:val="20"/>
          <w:szCs w:val="20"/>
        </w:rPr>
        <w:t xml:space="preserve">reported where collectively they are at or above the corresponding threshold values for significant or very significant IGTs.  </w:t>
      </w: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p>
    <w:p w:rsidR="00504BAB" w:rsidRPr="008C309E" w:rsidRDefault="00504BAB" w:rsidP="00504BAB">
      <w:p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504BAB" w:rsidRPr="00D71D84"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
      <w:tr w:rsidR="00504BAB" w:rsidRPr="0024056D" w:rsidTr="003F012E">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rsidR="00504BAB" w:rsidRDefault="00504BAB" w:rsidP="003F012E">
            <w:pPr>
              <w:spacing w:after="0" w:line="240" w:lineRule="auto"/>
              <w:jc w:val="center"/>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auto"/>
            </w:tcBorders>
            <w:shd w:val="clear" w:color="auto" w:fill="auto"/>
          </w:tcPr>
          <w:p w:rsidR="00504BAB" w:rsidRPr="0024056D" w:rsidRDefault="00504BAB" w:rsidP="003F012E">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836" w:type="dxa"/>
            <w:tcBorders>
              <w:top w:val="single" w:sz="4" w:space="0" w:color="auto"/>
              <w:left w:val="nil"/>
              <w:bottom w:val="single" w:sz="4" w:space="0" w:color="auto"/>
              <w:right w:val="single" w:sz="4" w:space="0" w:color="auto"/>
            </w:tcBorders>
            <w:shd w:val="clear" w:color="auto" w:fill="auto"/>
          </w:tcPr>
          <w:p w:rsidR="00504BAB" w:rsidRPr="0024056D" w:rsidRDefault="00504BAB" w:rsidP="003F012E">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CD6B25" w:rsidRPr="0024056D" w:rsidTr="003F012E">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B14384"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w:t>
            </w:r>
          </w:p>
        </w:tc>
        <w:tc>
          <w:tcPr>
            <w:tcW w:w="2148" w:type="dxa"/>
            <w:tcBorders>
              <w:top w:val="single" w:sz="4" w:space="0" w:color="auto"/>
              <w:left w:val="nil"/>
              <w:bottom w:val="single" w:sz="4" w:space="0" w:color="auto"/>
              <w:right w:val="single" w:sz="4" w:space="0" w:color="auto"/>
            </w:tcBorders>
            <w:shd w:val="clear" w:color="auto" w:fill="auto"/>
            <w:hideMark/>
          </w:tcPr>
          <w:p w:rsidR="00CD6B25" w:rsidRPr="003F012E" w:rsidRDefault="00CD6B25" w:rsidP="0013765F">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ID of intr</w:t>
            </w:r>
            <w:r w:rsidR="0013765F">
              <w:rPr>
                <w:rFonts w:ascii="Times New Roman" w:eastAsia="Times New Roman" w:hAnsi="Times New Roman" w:cs="Times New Roman"/>
                <w:color w:val="000000"/>
                <w:sz w:val="20"/>
                <w:szCs w:val="20"/>
                <w:lang w:eastAsia="en-GB"/>
              </w:rPr>
              <w:t>a</w:t>
            </w:r>
            <w:r w:rsidRPr="003F012E">
              <w:rPr>
                <w:rFonts w:ascii="Times New Roman" w:eastAsia="Times New Roman" w:hAnsi="Times New Roman" w:cs="Times New Roman"/>
                <w:color w:val="000000"/>
                <w:sz w:val="20"/>
                <w:szCs w:val="20"/>
                <w:lang w:eastAsia="en-GB"/>
              </w:rPr>
              <w:t>group transaction</w:t>
            </w:r>
          </w:p>
        </w:tc>
        <w:tc>
          <w:tcPr>
            <w:tcW w:w="5836" w:type="dxa"/>
            <w:tcBorders>
              <w:top w:val="single" w:sz="4" w:space="0" w:color="auto"/>
              <w:left w:val="nil"/>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CD6B25" w:rsidRPr="0024056D" w:rsidTr="003F012E">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B14384"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Investor/ Buyer/ Beneficiary name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Legal name of the entity that is purchasing/investing in the asset/investment or receiving the service/guarantee. </w:t>
            </w:r>
          </w:p>
        </w:tc>
      </w:tr>
      <w:tr w:rsidR="00CD6B25" w:rsidRPr="0024056D" w:rsidTr="003F012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B14384"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C0030</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Investor/ Buyer/ Beneficiary</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3F012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Investor/ Buyer/ Beneficiary</w:t>
            </w:r>
          </w:p>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Investor/ Buyer/ Beneficiary</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B14384"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Issuer/ Seller/ Provider name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Legal name of the entity that is selling/transferring the asset/investment or providing the service/guarantee. </w:t>
            </w:r>
          </w:p>
        </w:tc>
      </w:tr>
      <w:tr w:rsidR="00CD6B25" w:rsidRPr="0024056D" w:rsidTr="00504BAB">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B14384"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Issuer/ Seller/ Provider</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bookmarkStart w:id="0" w:name="_GoBack"/>
            <w:bookmarkEnd w:id="0"/>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3F012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8C309E">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Issuer/ Seller/ Provider</w:t>
            </w:r>
          </w:p>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Issuer/ Seller/ Provider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3F012E">
        <w:trPr>
          <w:trHeight w:val="1425"/>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CD6B25" w:rsidRPr="003F012E" w:rsidRDefault="00B14384"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Transaction type</w:t>
            </w:r>
          </w:p>
        </w:tc>
        <w:tc>
          <w:tcPr>
            <w:tcW w:w="5836" w:type="dxa"/>
            <w:tcBorders>
              <w:top w:val="single" w:sz="4" w:space="0" w:color="auto"/>
              <w:left w:val="nil"/>
              <w:bottom w:val="single" w:sz="4" w:space="0" w:color="auto"/>
              <w:right w:val="single" w:sz="4" w:space="0" w:color="000000"/>
            </w:tcBorders>
            <w:shd w:val="clear" w:color="auto" w:fill="auto"/>
            <w:hideMark/>
          </w:tcPr>
          <w:p w:rsidR="00EF05E7" w:rsidRPr="003F012E" w:rsidRDefault="00EF05E7"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Identify the type of </w:t>
            </w:r>
            <w:r w:rsidR="002C2E41">
              <w:rPr>
                <w:rFonts w:ascii="Times New Roman" w:eastAsia="Times New Roman" w:hAnsi="Times New Roman" w:cs="Times New Roman"/>
                <w:color w:val="000000"/>
                <w:sz w:val="20"/>
                <w:szCs w:val="20"/>
                <w:lang w:eastAsia="en-GB"/>
              </w:rPr>
              <w:t>transaction</w:t>
            </w:r>
            <w:r w:rsidRPr="003F012E">
              <w:rPr>
                <w:rFonts w:ascii="Times New Roman" w:eastAsia="Times New Roman" w:hAnsi="Times New Roman" w:cs="Times New Roman"/>
                <w:color w:val="000000"/>
                <w:sz w:val="20"/>
                <w:szCs w:val="20"/>
                <w:lang w:eastAsia="en-GB"/>
              </w:rPr>
              <w:t xml:space="preserve">. </w:t>
            </w:r>
            <w:r w:rsidR="002C2E41">
              <w:rPr>
                <w:rFonts w:ascii="Times New Roman" w:eastAsia="Times New Roman" w:hAnsi="Times New Roman" w:cs="Times New Roman"/>
                <w:color w:val="000000"/>
                <w:sz w:val="20"/>
                <w:szCs w:val="20"/>
                <w:lang w:eastAsia="en-GB"/>
              </w:rPr>
              <w:t>T</w:t>
            </w:r>
            <w:r w:rsidRPr="003F012E">
              <w:rPr>
                <w:rFonts w:ascii="Times New Roman" w:eastAsia="Times New Roman" w:hAnsi="Times New Roman" w:cs="Times New Roman"/>
                <w:color w:val="000000"/>
                <w:sz w:val="20"/>
                <w:szCs w:val="20"/>
                <w:lang w:eastAsia="en-GB"/>
              </w:rPr>
              <w:t>he following close list shall be used</w:t>
            </w:r>
            <w:r w:rsidR="007F3DC5" w:rsidRPr="003F012E">
              <w:rPr>
                <w:rFonts w:ascii="Times New Roman" w:eastAsia="Times New Roman" w:hAnsi="Times New Roman" w:cs="Times New Roman"/>
                <w:color w:val="000000"/>
                <w:sz w:val="20"/>
                <w:szCs w:val="20"/>
                <w:lang w:eastAsia="en-GB"/>
              </w:rPr>
              <w:t>:</w:t>
            </w:r>
          </w:p>
          <w:p w:rsidR="00A95B08" w:rsidRPr="003F012E" w:rsidRDefault="00B14384"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1 </w:t>
            </w:r>
            <w:r w:rsidR="002C2E41">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 xml:space="preserve"> Contingent liabilities</w:t>
            </w:r>
            <w:r w:rsidR="00CD6B25" w:rsidRPr="003F012E">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00CD6B25" w:rsidRPr="003F012E">
              <w:rPr>
                <w:rFonts w:ascii="Times New Roman" w:eastAsia="Times New Roman" w:hAnsi="Times New Roman" w:cs="Times New Roman"/>
                <w:color w:val="000000"/>
                <w:sz w:val="20"/>
                <w:szCs w:val="20"/>
                <w:lang w:eastAsia="en-GB"/>
              </w:rPr>
              <w:t>- </w:t>
            </w:r>
            <w:r w:rsidR="00EF05E7" w:rsidRPr="003F012E">
              <w:rPr>
                <w:rFonts w:ascii="Times New Roman" w:eastAsia="Times New Roman" w:hAnsi="Times New Roman" w:cs="Times New Roman"/>
                <w:color w:val="000000"/>
                <w:sz w:val="20"/>
                <w:szCs w:val="20"/>
                <w:lang w:eastAsia="en-GB"/>
              </w:rPr>
              <w:t>O</w:t>
            </w:r>
            <w:r w:rsidR="00CD6B25" w:rsidRPr="003F012E">
              <w:rPr>
                <w:rFonts w:ascii="Times New Roman" w:eastAsia="Times New Roman" w:hAnsi="Times New Roman" w:cs="Times New Roman"/>
                <w:color w:val="000000"/>
                <w:sz w:val="20"/>
                <w:szCs w:val="20"/>
                <w:lang w:eastAsia="en-GB"/>
              </w:rPr>
              <w:t>ff balance sheet items</w:t>
            </w:r>
            <w:r w:rsidR="00CD6B25" w:rsidRPr="003F012E">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w:t>
            </w:r>
            <w:r w:rsidR="00CD6B25" w:rsidRPr="003F012E">
              <w:rPr>
                <w:rFonts w:ascii="Times New Roman" w:eastAsia="Times New Roman" w:hAnsi="Times New Roman" w:cs="Times New Roman"/>
                <w:color w:val="000000"/>
                <w:sz w:val="20"/>
                <w:szCs w:val="20"/>
                <w:lang w:eastAsia="en-GB"/>
              </w:rPr>
              <w:t>- Internal cost sharing</w:t>
            </w:r>
            <w:r w:rsidR="00CD6B25" w:rsidRPr="003F012E">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4 </w:t>
            </w:r>
            <w:r w:rsidR="00CD6B25" w:rsidRPr="003F012E">
              <w:rPr>
                <w:rFonts w:ascii="Times New Roman" w:eastAsia="Times New Roman" w:hAnsi="Times New Roman" w:cs="Times New Roman"/>
                <w:color w:val="000000"/>
                <w:sz w:val="20"/>
                <w:szCs w:val="20"/>
                <w:lang w:eastAsia="en-GB"/>
              </w:rPr>
              <w:t>- Others</w:t>
            </w:r>
          </w:p>
        </w:tc>
      </w:tr>
      <w:tr w:rsidR="00CD6B25" w:rsidRPr="0024056D" w:rsidTr="003F012E">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B14384"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Transaction Issue date</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EF05E7"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Identify the ISO 8601 (</w:t>
            </w:r>
            <w:proofErr w:type="spellStart"/>
            <w:r w:rsidRPr="003F012E">
              <w:rPr>
                <w:rFonts w:ascii="Times New Roman" w:hAnsi="Times New Roman" w:cs="Times New Roman"/>
                <w:sz w:val="20"/>
                <w:szCs w:val="20"/>
              </w:rPr>
              <w:t>yyyy</w:t>
            </w:r>
            <w:proofErr w:type="spellEnd"/>
            <w:r w:rsidRPr="003F012E">
              <w:rPr>
                <w:rFonts w:ascii="Times New Roman" w:hAnsi="Times New Roman" w:cs="Times New Roman"/>
                <w:sz w:val="20"/>
                <w:szCs w:val="20"/>
              </w:rPr>
              <w:t>-mm-</w:t>
            </w:r>
            <w:proofErr w:type="spellStart"/>
            <w:r w:rsidRPr="003F012E">
              <w:rPr>
                <w:rFonts w:ascii="Times New Roman" w:hAnsi="Times New Roman" w:cs="Times New Roman"/>
                <w:sz w:val="20"/>
                <w:szCs w:val="20"/>
              </w:rPr>
              <w:t>dd</w:t>
            </w:r>
            <w:proofErr w:type="spellEnd"/>
            <w:r w:rsidRPr="003F012E">
              <w:rPr>
                <w:rFonts w:ascii="Times New Roman" w:hAnsi="Times New Roman" w:cs="Times New Roman"/>
                <w:sz w:val="20"/>
                <w:szCs w:val="20"/>
              </w:rPr>
              <w:t xml:space="preserve">) code of the </w:t>
            </w:r>
            <w:r w:rsidRPr="003F012E">
              <w:rPr>
                <w:rFonts w:ascii="Times New Roman" w:eastAsia="Times New Roman" w:hAnsi="Times New Roman" w:cs="Times New Roman"/>
                <w:color w:val="000000"/>
                <w:sz w:val="20"/>
                <w:szCs w:val="20"/>
                <w:lang w:eastAsia="en-GB"/>
              </w:rPr>
              <w:t>d</w:t>
            </w:r>
            <w:r w:rsidR="00CD6B25" w:rsidRPr="003F012E">
              <w:rPr>
                <w:rFonts w:ascii="Times New Roman" w:eastAsia="Times New Roman" w:hAnsi="Times New Roman" w:cs="Times New Roman"/>
                <w:color w:val="000000"/>
                <w:sz w:val="20"/>
                <w:szCs w:val="20"/>
                <w:lang w:eastAsia="en-GB"/>
              </w:rPr>
              <w:t>ate when the transaction/issue takes effect.</w:t>
            </w:r>
          </w:p>
        </w:tc>
      </w:tr>
      <w:tr w:rsidR="00CD6B25" w:rsidRPr="0024056D" w:rsidTr="003F012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B14384"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2C2E41">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Effective date of agreement/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Where applicable, </w:t>
            </w:r>
            <w:r w:rsidR="00EF05E7" w:rsidRPr="003F012E">
              <w:rPr>
                <w:rFonts w:ascii="Times New Roman" w:hAnsi="Times New Roman" w:cs="Times New Roman"/>
                <w:sz w:val="20"/>
                <w:szCs w:val="20"/>
              </w:rPr>
              <w:t>Identify the ISO 8601 (</w:t>
            </w:r>
            <w:proofErr w:type="spellStart"/>
            <w:r w:rsidR="00EF05E7" w:rsidRPr="003F012E">
              <w:rPr>
                <w:rFonts w:ascii="Times New Roman" w:hAnsi="Times New Roman" w:cs="Times New Roman"/>
                <w:sz w:val="20"/>
                <w:szCs w:val="20"/>
              </w:rPr>
              <w:t>yyyy</w:t>
            </w:r>
            <w:proofErr w:type="spellEnd"/>
            <w:r w:rsidR="00EF05E7" w:rsidRPr="003F012E">
              <w:rPr>
                <w:rFonts w:ascii="Times New Roman" w:hAnsi="Times New Roman" w:cs="Times New Roman"/>
                <w:sz w:val="20"/>
                <w:szCs w:val="20"/>
              </w:rPr>
              <w:t>-mm-</w:t>
            </w:r>
            <w:proofErr w:type="spellStart"/>
            <w:r w:rsidR="00EF05E7" w:rsidRPr="003F012E">
              <w:rPr>
                <w:rFonts w:ascii="Times New Roman" w:hAnsi="Times New Roman" w:cs="Times New Roman"/>
                <w:sz w:val="20"/>
                <w:szCs w:val="20"/>
              </w:rPr>
              <w:t>dd</w:t>
            </w:r>
            <w:proofErr w:type="spellEnd"/>
            <w:r w:rsidR="00EF05E7" w:rsidRPr="003F012E">
              <w:rPr>
                <w:rFonts w:ascii="Times New Roman" w:hAnsi="Times New Roman" w:cs="Times New Roman"/>
                <w:sz w:val="20"/>
                <w:szCs w:val="20"/>
              </w:rPr>
              <w:t xml:space="preserve">) code of the </w:t>
            </w:r>
            <w:r w:rsidRPr="003F012E">
              <w:rPr>
                <w:rFonts w:ascii="Times New Roman" w:eastAsia="Times New Roman" w:hAnsi="Times New Roman" w:cs="Times New Roman"/>
                <w:color w:val="000000"/>
                <w:sz w:val="20"/>
                <w:szCs w:val="20"/>
                <w:lang w:eastAsia="en-GB"/>
              </w:rPr>
              <w:t xml:space="preserve">date when the transaction or contract underlying the transactions takes effect if different from the transaction date.  If same as the transaction date, the transaction date is to be reported.  </w:t>
            </w:r>
          </w:p>
        </w:tc>
      </w:tr>
      <w:tr w:rsidR="00CD6B25" w:rsidRPr="0024056D" w:rsidTr="002E5506">
        <w:trPr>
          <w:trHeight w:val="913"/>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1846E8"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w:t>
            </w:r>
            <w:r w:rsidR="002C2E41">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Expiry date of agreement /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Where applicable, </w:t>
            </w:r>
            <w:r w:rsidR="00EF05E7" w:rsidRPr="003F012E">
              <w:rPr>
                <w:rFonts w:ascii="Times New Roman" w:hAnsi="Times New Roman" w:cs="Times New Roman"/>
                <w:sz w:val="20"/>
                <w:szCs w:val="20"/>
              </w:rPr>
              <w:t>identify the ISO 8601 (</w:t>
            </w:r>
            <w:proofErr w:type="spellStart"/>
            <w:r w:rsidR="00EF05E7" w:rsidRPr="003F012E">
              <w:rPr>
                <w:rFonts w:ascii="Times New Roman" w:hAnsi="Times New Roman" w:cs="Times New Roman"/>
                <w:sz w:val="20"/>
                <w:szCs w:val="20"/>
              </w:rPr>
              <w:t>yyyy</w:t>
            </w:r>
            <w:proofErr w:type="spellEnd"/>
            <w:r w:rsidR="00EF05E7" w:rsidRPr="003F012E">
              <w:rPr>
                <w:rFonts w:ascii="Times New Roman" w:hAnsi="Times New Roman" w:cs="Times New Roman"/>
                <w:sz w:val="20"/>
                <w:szCs w:val="20"/>
              </w:rPr>
              <w:t>-mm-</w:t>
            </w:r>
            <w:proofErr w:type="spellStart"/>
            <w:r w:rsidR="00EF05E7" w:rsidRPr="003F012E">
              <w:rPr>
                <w:rFonts w:ascii="Times New Roman" w:hAnsi="Times New Roman" w:cs="Times New Roman"/>
                <w:sz w:val="20"/>
                <w:szCs w:val="20"/>
              </w:rPr>
              <w:t>dd</w:t>
            </w:r>
            <w:proofErr w:type="spellEnd"/>
            <w:r w:rsidR="00EF05E7" w:rsidRPr="003F012E">
              <w:rPr>
                <w:rFonts w:ascii="Times New Roman" w:hAnsi="Times New Roman" w:cs="Times New Roman"/>
                <w:sz w:val="20"/>
                <w:szCs w:val="20"/>
              </w:rPr>
              <w:t xml:space="preserve">) code of the </w:t>
            </w:r>
            <w:r w:rsidRPr="003F012E">
              <w:rPr>
                <w:rFonts w:ascii="Times New Roman" w:eastAsia="Times New Roman" w:hAnsi="Times New Roman" w:cs="Times New Roman"/>
                <w:color w:val="000000"/>
                <w:sz w:val="20"/>
                <w:szCs w:val="20"/>
                <w:lang w:eastAsia="en-GB"/>
              </w:rPr>
              <w:t>date when the agreement/contract ceases. If the expiry date is perpetual use "9999</w:t>
            </w:r>
            <w:r w:rsidR="002C2E41">
              <w:rPr>
                <w:rFonts w:ascii="Times New Roman" w:eastAsia="Times New Roman" w:hAnsi="Times New Roman" w:cs="Times New Roman"/>
                <w:color w:val="000000"/>
                <w:sz w:val="20"/>
                <w:szCs w:val="20"/>
                <w:lang w:eastAsia="en-GB"/>
              </w:rPr>
              <w:t>-12-31</w:t>
            </w:r>
            <w:r w:rsidRPr="003F012E">
              <w:rPr>
                <w:rFonts w:ascii="Times New Roman" w:eastAsia="Times New Roman" w:hAnsi="Times New Roman" w:cs="Times New Roman"/>
                <w:color w:val="000000"/>
                <w:sz w:val="20"/>
                <w:szCs w:val="20"/>
                <w:lang w:eastAsia="en-GB"/>
              </w:rPr>
              <w:t>".</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1846E8"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Currency of transaction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EF05E7"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Identify the ISO 4217 alphabetic code of the</w:t>
            </w:r>
            <w:r w:rsidRPr="003F012E">
              <w:rPr>
                <w:rFonts w:ascii="Times New Roman" w:eastAsia="Times New Roman" w:hAnsi="Times New Roman" w:cs="Times New Roman"/>
                <w:color w:val="000000"/>
                <w:sz w:val="20"/>
                <w:szCs w:val="20"/>
                <w:lang w:eastAsia="en-GB"/>
              </w:rPr>
              <w:t xml:space="preserve"> c</w:t>
            </w:r>
            <w:r w:rsidR="00CD6B25" w:rsidRPr="003F012E">
              <w:rPr>
                <w:rFonts w:ascii="Times New Roman" w:eastAsia="Times New Roman" w:hAnsi="Times New Roman" w:cs="Times New Roman"/>
                <w:color w:val="000000"/>
                <w:sz w:val="20"/>
                <w:szCs w:val="20"/>
                <w:lang w:eastAsia="en-GB"/>
              </w:rPr>
              <w:t>urrency in which the transaction took place.</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1846E8"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Trigger event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Where applicable, brief description of event that would trigger the transaction/payment/liability/none e.g. event that would result in a contingent liability occurring.</w:t>
            </w:r>
          </w:p>
        </w:tc>
      </w:tr>
      <w:tr w:rsidR="00CD6B25" w:rsidRPr="0024056D" w:rsidTr="003F012E">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1846E8"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B4058B">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3F012E">
              <w:rPr>
                <w:rFonts w:ascii="Times New Roman" w:eastAsia="Times New Roman" w:hAnsi="Times New Roman" w:cs="Times New Roman"/>
                <w:color w:val="000000"/>
                <w:sz w:val="20"/>
                <w:szCs w:val="20"/>
                <w:lang w:eastAsia="en-GB"/>
              </w:rPr>
              <w:t xml:space="preserve">alue of transaction/ collateral </w:t>
            </w:r>
            <w:r w:rsidR="004E6F5C">
              <w:rPr>
                <w:rFonts w:ascii="Times New Roman" w:eastAsia="Times New Roman" w:hAnsi="Times New Roman" w:cs="Times New Roman"/>
                <w:color w:val="000000"/>
                <w:sz w:val="20"/>
                <w:szCs w:val="20"/>
                <w:lang w:eastAsia="en-GB"/>
              </w:rPr>
              <w:t>/Guarantee</w:t>
            </w:r>
          </w:p>
        </w:tc>
        <w:tc>
          <w:tcPr>
            <w:tcW w:w="5836" w:type="dxa"/>
            <w:tcBorders>
              <w:top w:val="single" w:sz="4" w:space="0" w:color="auto"/>
              <w:left w:val="nil"/>
              <w:bottom w:val="nil"/>
              <w:right w:val="single" w:sz="4" w:space="0" w:color="000000"/>
            </w:tcBorders>
            <w:shd w:val="clear" w:color="auto" w:fill="auto"/>
            <w:hideMark/>
          </w:tcPr>
          <w:p w:rsidR="00D7548A" w:rsidRPr="006A06E1" w:rsidRDefault="00B4058B" w:rsidP="003F012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3F012E">
              <w:rPr>
                <w:rFonts w:ascii="Times New Roman" w:eastAsia="Times New Roman" w:hAnsi="Times New Roman" w:cs="Times New Roman"/>
                <w:color w:val="000000"/>
                <w:sz w:val="20"/>
                <w:szCs w:val="20"/>
                <w:lang w:eastAsia="en-GB"/>
              </w:rPr>
              <w:t>alue of the</w:t>
            </w:r>
            <w:r w:rsidR="00D66D4B">
              <w:rPr>
                <w:rFonts w:ascii="Times New Roman" w:eastAsia="Times New Roman" w:hAnsi="Times New Roman" w:cs="Times New Roman"/>
                <w:color w:val="000000"/>
                <w:sz w:val="20"/>
                <w:szCs w:val="20"/>
                <w:lang w:eastAsia="en-GB"/>
              </w:rPr>
              <w:t xml:space="preserve"> </w:t>
            </w:r>
            <w:r w:rsidR="00CD6B25" w:rsidRPr="003F012E">
              <w:rPr>
                <w:rFonts w:ascii="Times New Roman" w:eastAsia="Times New Roman" w:hAnsi="Times New Roman" w:cs="Times New Roman"/>
                <w:color w:val="000000"/>
                <w:sz w:val="20"/>
                <w:szCs w:val="20"/>
                <w:lang w:eastAsia="en-GB"/>
              </w:rPr>
              <w:t>transaction</w:t>
            </w:r>
            <w:r w:rsidR="00D7548A" w:rsidRPr="003F012E">
              <w:rPr>
                <w:rFonts w:ascii="Times New Roman" w:eastAsia="Times New Roman" w:hAnsi="Times New Roman" w:cs="Times New Roman"/>
                <w:color w:val="000000"/>
                <w:sz w:val="20"/>
                <w:szCs w:val="20"/>
                <w:lang w:eastAsia="en-GB"/>
              </w:rPr>
              <w:t xml:space="preserve">, </w:t>
            </w:r>
            <w:r w:rsidR="00CD6B25" w:rsidRPr="003F012E">
              <w:rPr>
                <w:rFonts w:ascii="Times New Roman" w:eastAsia="Times New Roman" w:hAnsi="Times New Roman" w:cs="Times New Roman"/>
                <w:color w:val="000000"/>
                <w:sz w:val="20"/>
                <w:szCs w:val="20"/>
                <w:lang w:eastAsia="en-GB"/>
              </w:rPr>
              <w:t>collateral pledged</w:t>
            </w:r>
            <w:r w:rsidR="00D66D4B">
              <w:rPr>
                <w:rFonts w:ascii="Times New Roman" w:eastAsia="Times New Roman" w:hAnsi="Times New Roman" w:cs="Times New Roman"/>
                <w:color w:val="000000"/>
                <w:sz w:val="20"/>
                <w:szCs w:val="20"/>
                <w:lang w:eastAsia="en-GB"/>
              </w:rPr>
              <w:t xml:space="preserve"> or </w:t>
            </w:r>
            <w:r w:rsidR="00D7548A" w:rsidRPr="003F012E">
              <w:rPr>
                <w:rFonts w:ascii="Times New Roman" w:eastAsia="Times New Roman" w:hAnsi="Times New Roman" w:cs="Times New Roman"/>
                <w:color w:val="000000"/>
                <w:sz w:val="20"/>
                <w:szCs w:val="20"/>
                <w:lang w:eastAsia="en-GB"/>
              </w:rPr>
              <w:t xml:space="preserve">contingent liability recognised on the Solvency II balance </w:t>
            </w:r>
            <w:r w:rsidR="00D7548A" w:rsidRPr="006A06E1">
              <w:rPr>
                <w:rFonts w:ascii="Times New Roman" w:eastAsia="Times New Roman" w:hAnsi="Times New Roman" w:cs="Times New Roman"/>
                <w:color w:val="000000"/>
                <w:sz w:val="20"/>
                <w:szCs w:val="20"/>
                <w:lang w:eastAsia="en-GB"/>
              </w:rPr>
              <w:t>sheet</w:t>
            </w:r>
            <w:r w:rsidR="00D66D4B" w:rsidRPr="006A06E1">
              <w:rPr>
                <w:rFonts w:ascii="Times New Roman" w:eastAsia="Times New Roman" w:hAnsi="Times New Roman" w:cs="Times New Roman"/>
                <w:color w:val="000000"/>
                <w:sz w:val="20"/>
                <w:szCs w:val="20"/>
                <w:lang w:eastAsia="en-GB"/>
              </w:rPr>
              <w:t>.</w:t>
            </w:r>
            <w:r w:rsidR="00D7548A" w:rsidRPr="006A06E1">
              <w:rPr>
                <w:rFonts w:ascii="Times New Roman" w:eastAsia="Times New Roman" w:hAnsi="Times New Roman" w:cs="Times New Roman"/>
                <w:color w:val="000000"/>
                <w:sz w:val="20"/>
                <w:szCs w:val="20"/>
                <w:lang w:eastAsia="en-GB"/>
              </w:rPr>
              <w:t xml:space="preserve"> </w:t>
            </w:r>
          </w:p>
          <w:p w:rsidR="00D7548A" w:rsidRPr="006A06E1" w:rsidRDefault="00D7548A" w:rsidP="003F012E">
            <w:pPr>
              <w:spacing w:after="0" w:line="240" w:lineRule="auto"/>
              <w:rPr>
                <w:rFonts w:ascii="Times New Roman" w:eastAsia="Times New Roman" w:hAnsi="Times New Roman" w:cs="Times New Roman"/>
                <w:color w:val="000000"/>
                <w:sz w:val="20"/>
                <w:szCs w:val="20"/>
                <w:lang w:eastAsia="en-GB"/>
              </w:rPr>
            </w:pPr>
          </w:p>
          <w:p w:rsidR="00CD6B25" w:rsidRPr="003F012E" w:rsidRDefault="00CD6B25" w:rsidP="00D7548A">
            <w:pPr>
              <w:spacing w:after="0" w:line="240" w:lineRule="auto"/>
              <w:rPr>
                <w:rFonts w:ascii="Times New Roman" w:eastAsia="Times New Roman" w:hAnsi="Times New Roman" w:cs="Times New Roman"/>
                <w:color w:val="000000"/>
                <w:sz w:val="20"/>
                <w:szCs w:val="20"/>
                <w:lang w:eastAsia="en-GB"/>
              </w:rPr>
            </w:pPr>
            <w:r w:rsidRPr="006A06E1">
              <w:rPr>
                <w:rFonts w:ascii="Times New Roman" w:eastAsia="Times New Roman" w:hAnsi="Times New Roman" w:cs="Times New Roman"/>
                <w:color w:val="000000"/>
                <w:sz w:val="20"/>
                <w:szCs w:val="20"/>
                <w:lang w:eastAsia="en-GB"/>
              </w:rPr>
              <w:t xml:space="preserve">This item is to be reported in the </w:t>
            </w:r>
            <w:r w:rsidR="00264FC2" w:rsidRPr="002E5506">
              <w:rPr>
                <w:rFonts w:ascii="Times New Roman" w:eastAsia="Times New Roman" w:hAnsi="Times New Roman" w:cs="Times New Roman"/>
                <w:color w:val="000000"/>
                <w:sz w:val="20"/>
                <w:szCs w:val="20"/>
                <w:lang w:eastAsia="en-GB"/>
              </w:rPr>
              <w:t xml:space="preserve">reporting </w:t>
            </w:r>
            <w:r w:rsidRPr="006A06E1">
              <w:rPr>
                <w:rFonts w:ascii="Times New Roman" w:eastAsia="Times New Roman" w:hAnsi="Times New Roman" w:cs="Times New Roman"/>
                <w:color w:val="000000"/>
                <w:sz w:val="20"/>
                <w:szCs w:val="20"/>
                <w:lang w:eastAsia="en-GB"/>
              </w:rPr>
              <w:t>currency of the group.</w:t>
            </w:r>
          </w:p>
          <w:p w:rsidR="00D7548A" w:rsidRPr="003F012E" w:rsidRDefault="00D7548A" w:rsidP="00D7548A">
            <w:pPr>
              <w:spacing w:after="0" w:line="240" w:lineRule="auto"/>
              <w:rPr>
                <w:rFonts w:ascii="Times New Roman" w:eastAsia="Times New Roman" w:hAnsi="Times New Roman" w:cs="Times New Roman"/>
                <w:color w:val="000000"/>
                <w:sz w:val="20"/>
                <w:szCs w:val="20"/>
                <w:lang w:eastAsia="en-GB"/>
              </w:rPr>
            </w:pPr>
          </w:p>
          <w:p w:rsidR="00D7548A" w:rsidRPr="003F012E" w:rsidRDefault="00D7548A">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All items </w:t>
            </w:r>
            <w:r w:rsidR="0024056D">
              <w:rPr>
                <w:rFonts w:ascii="Times New Roman" w:eastAsia="Times New Roman" w:hAnsi="Times New Roman" w:cs="Times New Roman"/>
                <w:color w:val="000000"/>
                <w:sz w:val="20"/>
                <w:szCs w:val="20"/>
                <w:lang w:eastAsia="en-GB"/>
              </w:rPr>
              <w:t>shall</w:t>
            </w:r>
            <w:r w:rsidRPr="003F012E">
              <w:rPr>
                <w:rFonts w:ascii="Times New Roman" w:eastAsia="Times New Roman" w:hAnsi="Times New Roman" w:cs="Times New Roman"/>
                <w:color w:val="000000"/>
                <w:sz w:val="20"/>
                <w:szCs w:val="20"/>
                <w:lang w:eastAsia="en-GB"/>
              </w:rPr>
              <w:t xml:space="preserve"> be reported on Solvency II value. However where SII value is not available (e.g. non-EEA operations under method 2 in equivalent regimes or banks and credit institutions) then the local or </w:t>
            </w:r>
            <w:proofErr w:type="spellStart"/>
            <w:r w:rsidRPr="003F012E">
              <w:rPr>
                <w:rFonts w:ascii="Times New Roman" w:eastAsia="Times New Roman" w:hAnsi="Times New Roman" w:cs="Times New Roman"/>
                <w:color w:val="000000"/>
                <w:sz w:val="20"/>
                <w:szCs w:val="20"/>
                <w:lang w:eastAsia="en-GB"/>
              </w:rPr>
              <w:t>sectoral</w:t>
            </w:r>
            <w:proofErr w:type="spellEnd"/>
            <w:r w:rsidRPr="003F012E">
              <w:rPr>
                <w:rFonts w:ascii="Times New Roman" w:eastAsia="Times New Roman" w:hAnsi="Times New Roman" w:cs="Times New Roman"/>
                <w:color w:val="000000"/>
                <w:sz w:val="20"/>
                <w:szCs w:val="20"/>
                <w:lang w:eastAsia="en-GB"/>
              </w:rPr>
              <w:t xml:space="preserve"> valuation rules </w:t>
            </w:r>
            <w:r w:rsidR="0024056D">
              <w:rPr>
                <w:rFonts w:ascii="Times New Roman" w:eastAsia="Times New Roman" w:hAnsi="Times New Roman" w:cs="Times New Roman"/>
                <w:color w:val="000000"/>
                <w:sz w:val="20"/>
                <w:szCs w:val="20"/>
                <w:lang w:eastAsia="en-GB"/>
              </w:rPr>
              <w:t>shall</w:t>
            </w:r>
            <w:r w:rsidRPr="003F012E">
              <w:rPr>
                <w:rFonts w:ascii="Times New Roman" w:eastAsia="Times New Roman" w:hAnsi="Times New Roman" w:cs="Times New Roman"/>
                <w:color w:val="000000"/>
                <w:sz w:val="20"/>
                <w:szCs w:val="20"/>
                <w:lang w:eastAsia="en-GB"/>
              </w:rPr>
              <w:t xml:space="preserve"> be used</w:t>
            </w:r>
            <w:r w:rsidR="00D66D4B">
              <w:rPr>
                <w:rFonts w:ascii="Times New Roman" w:hAnsi="Times New Roman" w:cs="Times New Roman"/>
                <w:sz w:val="20"/>
                <w:szCs w:val="20"/>
                <w:lang w:val="en-US"/>
              </w:rPr>
              <w:t>.</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4E6F5C"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Maximum possible value of contingent liabilities</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1F3E03" w:rsidP="00EE5964">
            <w:pPr>
              <w:rPr>
                <w:rFonts w:ascii="Times New Roman" w:hAnsi="Times New Roman" w:cs="Times New Roman"/>
                <w:sz w:val="20"/>
                <w:szCs w:val="20"/>
              </w:rPr>
            </w:pPr>
            <w:r w:rsidRPr="003F012E">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Solvency II Balance Sheet</w:t>
            </w:r>
            <w:r w:rsidR="00D66D4B">
              <w:rPr>
                <w:rFonts w:ascii="Times New Roman" w:hAnsi="Times New Roman" w:cs="Times New Roman"/>
                <w:sz w:val="20"/>
                <w:szCs w:val="20"/>
              </w:rPr>
              <w:t>.</w:t>
            </w:r>
            <w:r w:rsidRPr="003F012E">
              <w:rPr>
                <w:rFonts w:ascii="Times New Roman" w:hAnsi="Times New Roman" w:cs="Times New Roman"/>
                <w:sz w:val="20"/>
                <w:szCs w:val="20"/>
              </w:rPr>
              <w:t xml:space="preserve"> </w:t>
            </w:r>
          </w:p>
        </w:tc>
      </w:tr>
      <w:tr w:rsidR="00CD6B25"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CD6B25" w:rsidRPr="003F012E" w:rsidRDefault="004E6F5C"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Maximum possible value of contingent liabilities </w:t>
            </w:r>
            <w:r w:rsidR="00EF05E7" w:rsidRPr="003F012E">
              <w:rPr>
                <w:rFonts w:ascii="Times New Roman" w:eastAsia="Times New Roman" w:hAnsi="Times New Roman" w:cs="Times New Roman"/>
                <w:color w:val="000000"/>
                <w:sz w:val="20"/>
                <w:szCs w:val="20"/>
                <w:lang w:eastAsia="en-GB"/>
              </w:rPr>
              <w:t>not</w:t>
            </w:r>
            <w:r w:rsidRPr="003F012E">
              <w:rPr>
                <w:rFonts w:ascii="Times New Roman" w:eastAsia="Times New Roman" w:hAnsi="Times New Roman" w:cs="Times New Roman"/>
                <w:color w:val="000000"/>
                <w:sz w:val="20"/>
                <w:szCs w:val="20"/>
                <w:lang w:eastAsia="en-GB"/>
              </w:rPr>
              <w:t xml:space="preserve"> included in</w:t>
            </w:r>
            <w:r w:rsidR="004E6F5C">
              <w:rPr>
                <w:rFonts w:ascii="Times New Roman" w:eastAsia="Times New Roman" w:hAnsi="Times New Roman" w:cs="Times New Roman"/>
                <w:color w:val="000000"/>
                <w:sz w:val="20"/>
                <w:szCs w:val="20"/>
                <w:lang w:eastAsia="en-GB"/>
              </w:rPr>
              <w:t xml:space="preserve"> Solvency II</w:t>
            </w:r>
            <w:r w:rsidR="00B4058B">
              <w:rPr>
                <w:rFonts w:ascii="Times New Roman" w:eastAsia="Times New Roman" w:hAnsi="Times New Roman" w:cs="Times New Roman"/>
                <w:color w:val="000000"/>
                <w:sz w:val="20"/>
                <w:szCs w:val="20"/>
                <w:lang w:eastAsia="en-GB"/>
              </w:rPr>
              <w:t xml:space="preserve"> </w:t>
            </w:r>
            <w:r w:rsidRPr="003F012E">
              <w:rPr>
                <w:rFonts w:ascii="Times New Roman" w:eastAsia="Times New Roman" w:hAnsi="Times New Roman" w:cs="Times New Roman"/>
                <w:color w:val="000000"/>
                <w:sz w:val="20"/>
                <w:szCs w:val="20"/>
                <w:lang w:eastAsia="en-GB"/>
              </w:rPr>
              <w:t>B</w:t>
            </w:r>
            <w:r w:rsidR="00EF05E7" w:rsidRPr="003F012E">
              <w:rPr>
                <w:rFonts w:ascii="Times New Roman" w:eastAsia="Times New Roman" w:hAnsi="Times New Roman" w:cs="Times New Roman"/>
                <w:color w:val="000000"/>
                <w:sz w:val="20"/>
                <w:szCs w:val="20"/>
                <w:lang w:eastAsia="en-GB"/>
              </w:rPr>
              <w:t xml:space="preserve">alance </w:t>
            </w:r>
            <w:r w:rsidRPr="003F012E">
              <w:rPr>
                <w:rFonts w:ascii="Times New Roman" w:eastAsia="Times New Roman" w:hAnsi="Times New Roman" w:cs="Times New Roman"/>
                <w:color w:val="000000"/>
                <w:sz w:val="20"/>
                <w:szCs w:val="20"/>
                <w:lang w:eastAsia="en-GB"/>
              </w:rPr>
              <w:t>S</w:t>
            </w:r>
            <w:r w:rsidR="00EF05E7" w:rsidRPr="003F012E">
              <w:rPr>
                <w:rFonts w:ascii="Times New Roman" w:eastAsia="Times New Roman" w:hAnsi="Times New Roman" w:cs="Times New Roman"/>
                <w:color w:val="000000"/>
                <w:sz w:val="20"/>
                <w:szCs w:val="20"/>
                <w:lang w:eastAsia="en-GB"/>
              </w:rPr>
              <w:t>heet</w:t>
            </w:r>
            <w:r w:rsidRPr="003F012E">
              <w:rPr>
                <w:rFonts w:ascii="Times New Roman" w:eastAsia="Times New Roman" w:hAnsi="Times New Roman" w:cs="Times New Roman"/>
                <w:color w:val="000000"/>
                <w:sz w:val="20"/>
                <w:szCs w:val="20"/>
                <w:lang w:eastAsia="en-GB"/>
              </w:rPr>
              <w:t xml:space="preserve"> </w:t>
            </w:r>
          </w:p>
        </w:tc>
        <w:tc>
          <w:tcPr>
            <w:tcW w:w="5836" w:type="dxa"/>
            <w:tcBorders>
              <w:top w:val="single" w:sz="4" w:space="0" w:color="auto"/>
              <w:left w:val="nil"/>
              <w:bottom w:val="single" w:sz="4" w:space="0" w:color="auto"/>
              <w:right w:val="single" w:sz="4" w:space="0" w:color="000000"/>
            </w:tcBorders>
            <w:shd w:val="clear" w:color="auto" w:fill="auto"/>
            <w:hideMark/>
          </w:tcPr>
          <w:p w:rsidR="00CD6B25" w:rsidRPr="006A06E1" w:rsidRDefault="00CD6B25" w:rsidP="00EE5964">
            <w:pPr>
              <w:spacing w:after="0" w:line="240" w:lineRule="auto"/>
              <w:rPr>
                <w:rFonts w:ascii="Times New Roman" w:eastAsia="Times New Roman" w:hAnsi="Times New Roman" w:cs="Times New Roman"/>
                <w:color w:val="000000"/>
                <w:sz w:val="20"/>
                <w:szCs w:val="20"/>
                <w:lang w:eastAsia="en-GB"/>
              </w:rPr>
            </w:pPr>
            <w:r w:rsidRPr="006A06E1">
              <w:rPr>
                <w:rFonts w:ascii="Times New Roman" w:eastAsia="Times New Roman" w:hAnsi="Times New Roman" w:cs="Times New Roman"/>
                <w:color w:val="000000"/>
                <w:sz w:val="20"/>
                <w:szCs w:val="20"/>
                <w:lang w:eastAsia="en-GB"/>
              </w:rPr>
              <w:t>Enter the maximum amount of the contingent liability</w:t>
            </w:r>
            <w:r w:rsidR="00EF05E7" w:rsidRPr="006A06E1">
              <w:rPr>
                <w:rFonts w:ascii="Times New Roman" w:eastAsia="Times New Roman" w:hAnsi="Times New Roman" w:cs="Times New Roman"/>
                <w:color w:val="000000"/>
                <w:sz w:val="20"/>
                <w:szCs w:val="20"/>
                <w:lang w:eastAsia="en-GB"/>
              </w:rPr>
              <w:t xml:space="preserve">, for those not included in the </w:t>
            </w:r>
            <w:r w:rsidR="00EE5964" w:rsidRPr="006A06E1">
              <w:rPr>
                <w:rFonts w:ascii="Times New Roman" w:eastAsia="Times New Roman" w:hAnsi="Times New Roman" w:cs="Times New Roman"/>
                <w:color w:val="000000"/>
                <w:sz w:val="20"/>
                <w:szCs w:val="20"/>
                <w:lang w:eastAsia="en-GB"/>
              </w:rPr>
              <w:t>Solvency II B</w:t>
            </w:r>
            <w:r w:rsidR="00EF05E7" w:rsidRPr="006A06E1">
              <w:rPr>
                <w:rFonts w:ascii="Times New Roman" w:eastAsia="Times New Roman" w:hAnsi="Times New Roman" w:cs="Times New Roman"/>
                <w:color w:val="000000"/>
                <w:sz w:val="20"/>
                <w:szCs w:val="20"/>
                <w:lang w:eastAsia="en-GB"/>
              </w:rPr>
              <w:t xml:space="preserve">alance </w:t>
            </w:r>
            <w:proofErr w:type="gramStart"/>
            <w:r w:rsidR="00EE5964" w:rsidRPr="006A06E1">
              <w:rPr>
                <w:rFonts w:ascii="Times New Roman" w:eastAsia="Times New Roman" w:hAnsi="Times New Roman" w:cs="Times New Roman"/>
                <w:color w:val="000000"/>
                <w:sz w:val="20"/>
                <w:szCs w:val="20"/>
                <w:lang w:eastAsia="en-GB"/>
              </w:rPr>
              <w:t>S</w:t>
            </w:r>
            <w:r w:rsidR="00EF05E7" w:rsidRPr="006A06E1">
              <w:rPr>
                <w:rFonts w:ascii="Times New Roman" w:eastAsia="Times New Roman" w:hAnsi="Times New Roman" w:cs="Times New Roman"/>
                <w:color w:val="000000"/>
                <w:sz w:val="20"/>
                <w:szCs w:val="20"/>
                <w:lang w:eastAsia="en-GB"/>
              </w:rPr>
              <w:t xml:space="preserve">heet, </w:t>
            </w:r>
            <w:r w:rsidRPr="006A06E1">
              <w:rPr>
                <w:rFonts w:ascii="Times New Roman" w:eastAsia="Times New Roman" w:hAnsi="Times New Roman" w:cs="Times New Roman"/>
                <w:color w:val="000000"/>
                <w:sz w:val="20"/>
                <w:szCs w:val="20"/>
                <w:lang w:eastAsia="en-GB"/>
              </w:rPr>
              <w:t>that</w:t>
            </w:r>
            <w:proofErr w:type="gramEnd"/>
            <w:r w:rsidRPr="006A06E1">
              <w:rPr>
                <w:rFonts w:ascii="Times New Roman" w:eastAsia="Times New Roman" w:hAnsi="Times New Roman" w:cs="Times New Roman"/>
                <w:color w:val="000000"/>
                <w:sz w:val="20"/>
                <w:szCs w:val="20"/>
                <w:lang w:eastAsia="en-GB"/>
              </w:rPr>
              <w:t xml:space="preserve"> could be due from the Provider</w:t>
            </w:r>
            <w:r w:rsidR="00EF05E7" w:rsidRPr="006A06E1">
              <w:rPr>
                <w:rFonts w:ascii="Times New Roman" w:eastAsia="Times New Roman" w:hAnsi="Times New Roman" w:cs="Times New Roman"/>
                <w:color w:val="000000"/>
                <w:sz w:val="20"/>
                <w:szCs w:val="20"/>
                <w:lang w:eastAsia="en-GB"/>
              </w:rPr>
              <w:t>.</w:t>
            </w:r>
            <w:r w:rsidRPr="006A06E1">
              <w:rPr>
                <w:rFonts w:ascii="Times New Roman" w:eastAsia="Times New Roman" w:hAnsi="Times New Roman" w:cs="Times New Roman"/>
                <w:color w:val="000000"/>
                <w:sz w:val="20"/>
                <w:szCs w:val="20"/>
                <w:lang w:eastAsia="en-GB"/>
              </w:rPr>
              <w:t xml:space="preserve"> </w:t>
            </w:r>
            <w:r w:rsidRPr="006A06E1">
              <w:rPr>
                <w:rFonts w:ascii="Times New Roman" w:eastAsia="Times New Roman" w:hAnsi="Times New Roman" w:cs="Times New Roman"/>
                <w:color w:val="000000"/>
                <w:sz w:val="20"/>
                <w:szCs w:val="20"/>
                <w:lang w:eastAsia="en-GB"/>
              </w:rPr>
              <w:br/>
              <w:t xml:space="preserve">This item is to be reported in the </w:t>
            </w:r>
            <w:r w:rsidR="00264FC2" w:rsidRPr="002E5506">
              <w:rPr>
                <w:rFonts w:ascii="Times New Roman" w:eastAsia="Times New Roman" w:hAnsi="Times New Roman" w:cs="Times New Roman"/>
                <w:color w:val="000000"/>
                <w:sz w:val="20"/>
                <w:szCs w:val="20"/>
                <w:lang w:eastAsia="en-GB"/>
              </w:rPr>
              <w:t xml:space="preserve">reporting </w:t>
            </w:r>
            <w:r w:rsidRPr="006A06E1">
              <w:rPr>
                <w:rFonts w:ascii="Times New Roman" w:eastAsia="Times New Roman" w:hAnsi="Times New Roman" w:cs="Times New Roman"/>
                <w:color w:val="000000"/>
                <w:sz w:val="20"/>
                <w:szCs w:val="20"/>
                <w:lang w:eastAsia="en-GB"/>
              </w:rPr>
              <w:t>currency of the group.</w:t>
            </w:r>
          </w:p>
        </w:tc>
      </w:tr>
      <w:tr w:rsidR="007667AE"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7667AE" w:rsidRPr="003F012E" w:rsidRDefault="004E6F5C"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single" w:sz="4" w:space="0" w:color="auto"/>
              <w:right w:val="single" w:sz="4" w:space="0" w:color="000000"/>
            </w:tcBorders>
            <w:shd w:val="clear" w:color="auto" w:fill="auto"/>
          </w:tcPr>
          <w:p w:rsidR="007667AE" w:rsidRPr="003F012E" w:rsidRDefault="00B6363A"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Maximum value of letters of credit/guarantees</w:t>
            </w:r>
          </w:p>
        </w:tc>
        <w:tc>
          <w:tcPr>
            <w:tcW w:w="5836" w:type="dxa"/>
            <w:tcBorders>
              <w:top w:val="single" w:sz="4" w:space="0" w:color="auto"/>
              <w:left w:val="nil"/>
              <w:bottom w:val="single" w:sz="4" w:space="0" w:color="auto"/>
              <w:right w:val="single" w:sz="4" w:space="0" w:color="000000"/>
            </w:tcBorders>
            <w:shd w:val="clear" w:color="auto" w:fill="auto"/>
          </w:tcPr>
          <w:p w:rsidR="007667AE" w:rsidRPr="003F012E" w:rsidRDefault="001F3E03" w:rsidP="003F012E">
            <w:pPr>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 xml:space="preserve">Sum of all possible cash flows if events triggering guarantees were all to happen in relation to guarantees provided by the “provider” (cell </w:t>
            </w:r>
            <w:r w:rsidR="00D66D4B">
              <w:rPr>
                <w:rFonts w:ascii="Times New Roman" w:hAnsi="Times New Roman" w:cs="Times New Roman"/>
                <w:sz w:val="20"/>
                <w:szCs w:val="20"/>
              </w:rPr>
              <w:t>C0050</w:t>
            </w:r>
            <w:r w:rsidRPr="003F012E">
              <w:rPr>
                <w:rFonts w:ascii="Times New Roman" w:hAnsi="Times New Roman" w:cs="Times New Roman"/>
                <w:sz w:val="20"/>
                <w:szCs w:val="20"/>
              </w:rPr>
              <w:t xml:space="preserve">) to the “beneficiary” (Cell </w:t>
            </w:r>
            <w:r w:rsidR="00D66D4B">
              <w:rPr>
                <w:rFonts w:ascii="Times New Roman" w:hAnsi="Times New Roman" w:cs="Times New Roman"/>
                <w:sz w:val="20"/>
                <w:szCs w:val="20"/>
              </w:rPr>
              <w:t>C0020</w:t>
            </w:r>
            <w:r w:rsidRPr="003F012E">
              <w:rPr>
                <w:rFonts w:ascii="Times New Roman" w:hAnsi="Times New Roman" w:cs="Times New Roman"/>
                <w:sz w:val="20"/>
                <w:szCs w:val="20"/>
              </w:rPr>
              <w:t xml:space="preserve">) to guarantee the payment of the liabilities due by the undertaking (includes letter of credit, undrawn committed borrowing facilities). </w:t>
            </w:r>
            <w:r w:rsidR="006A06E1">
              <w:rPr>
                <w:rFonts w:ascii="Times New Roman" w:hAnsi="Times New Roman" w:cs="Times New Roman"/>
                <w:sz w:val="20"/>
                <w:szCs w:val="20"/>
              </w:rPr>
              <w:t xml:space="preserve"> This item shall not include amounts already reported under C0150 and C0160.</w:t>
            </w:r>
          </w:p>
        </w:tc>
      </w:tr>
      <w:tr w:rsidR="00B6363A" w:rsidRPr="0024056D" w:rsidTr="00504BAB">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B6363A" w:rsidRPr="003F012E" w:rsidRDefault="004E6F5C" w:rsidP="002E550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single" w:sz="4" w:space="0" w:color="auto"/>
              <w:right w:val="single" w:sz="4" w:space="0" w:color="000000"/>
            </w:tcBorders>
            <w:shd w:val="clear" w:color="auto" w:fill="auto"/>
          </w:tcPr>
          <w:p w:rsidR="00B6363A" w:rsidRPr="003F012E" w:rsidRDefault="00B6363A"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Value of guaranteed assets</w:t>
            </w:r>
          </w:p>
        </w:tc>
        <w:tc>
          <w:tcPr>
            <w:tcW w:w="5836" w:type="dxa"/>
            <w:tcBorders>
              <w:top w:val="single" w:sz="4" w:space="0" w:color="auto"/>
              <w:left w:val="nil"/>
              <w:bottom w:val="single" w:sz="4" w:space="0" w:color="auto"/>
              <w:right w:val="single" w:sz="4" w:space="0" w:color="000000"/>
            </w:tcBorders>
            <w:shd w:val="clear" w:color="auto" w:fill="auto"/>
          </w:tcPr>
          <w:p w:rsidR="001F3E03" w:rsidRPr="003F012E" w:rsidRDefault="001F3E03" w:rsidP="001F3E03">
            <w:pPr>
              <w:rPr>
                <w:rFonts w:ascii="Times New Roman" w:hAnsi="Times New Roman" w:cs="Times New Roman"/>
                <w:sz w:val="20"/>
                <w:szCs w:val="20"/>
              </w:rPr>
            </w:pPr>
            <w:r w:rsidRPr="003F012E">
              <w:rPr>
                <w:rFonts w:ascii="Times New Roman" w:hAnsi="Times New Roman" w:cs="Times New Roman"/>
                <w:sz w:val="20"/>
                <w:szCs w:val="20"/>
              </w:rPr>
              <w:t>Value of the guaranteed asset for which the guarantees are received.</w:t>
            </w:r>
          </w:p>
          <w:p w:rsidR="00B6363A" w:rsidRPr="003F012E" w:rsidRDefault="001F3E03" w:rsidP="001F3E03">
            <w:pPr>
              <w:spacing w:after="0" w:line="240" w:lineRule="auto"/>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Other local/sectoral valuation principles than SII ones may be relevant in this case.</w:t>
            </w:r>
          </w:p>
        </w:tc>
      </w:tr>
    </w:tbl>
    <w:p w:rsidR="007667AE" w:rsidRPr="003F012E" w:rsidRDefault="007667AE" w:rsidP="007667AE">
      <w:pPr>
        <w:rPr>
          <w:rFonts w:ascii="Times New Roman" w:hAnsi="Times New Roman" w:cs="Times New Roman"/>
          <w:sz w:val="20"/>
          <w:szCs w:val="20"/>
        </w:rPr>
      </w:pPr>
    </w:p>
    <w:sectPr w:rsidR="007667AE" w:rsidRPr="003F012E" w:rsidSect="00CD6B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1">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
    <w:nsid w:val="47571032"/>
    <w:multiLevelType w:val="hybridMultilevel"/>
    <w:tmpl w:val="EC3E88A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27252E0"/>
    <w:multiLevelType w:val="hybridMultilevel"/>
    <w:tmpl w:val="F1387788"/>
    <w:lvl w:ilvl="0" w:tplc="DC94CEAA">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D6B25"/>
    <w:rsid w:val="000273E1"/>
    <w:rsid w:val="00072A8B"/>
    <w:rsid w:val="0013765F"/>
    <w:rsid w:val="0014066E"/>
    <w:rsid w:val="001846E8"/>
    <w:rsid w:val="001A7774"/>
    <w:rsid w:val="001F3E03"/>
    <w:rsid w:val="0024056D"/>
    <w:rsid w:val="00264FC2"/>
    <w:rsid w:val="0028217C"/>
    <w:rsid w:val="002C2E41"/>
    <w:rsid w:val="002E5506"/>
    <w:rsid w:val="002F395A"/>
    <w:rsid w:val="00351AFC"/>
    <w:rsid w:val="0039442D"/>
    <w:rsid w:val="003F012E"/>
    <w:rsid w:val="003F4109"/>
    <w:rsid w:val="004628F7"/>
    <w:rsid w:val="004B4E1C"/>
    <w:rsid w:val="004B6696"/>
    <w:rsid w:val="004E6F5C"/>
    <w:rsid w:val="00504BAB"/>
    <w:rsid w:val="00516477"/>
    <w:rsid w:val="005A50AB"/>
    <w:rsid w:val="005E05DA"/>
    <w:rsid w:val="006A06E1"/>
    <w:rsid w:val="00705BEB"/>
    <w:rsid w:val="00753402"/>
    <w:rsid w:val="007667AE"/>
    <w:rsid w:val="007F3DC5"/>
    <w:rsid w:val="009350D6"/>
    <w:rsid w:val="009A0D59"/>
    <w:rsid w:val="00A04BC7"/>
    <w:rsid w:val="00A16F09"/>
    <w:rsid w:val="00A95B08"/>
    <w:rsid w:val="00B14384"/>
    <w:rsid w:val="00B4058B"/>
    <w:rsid w:val="00B6363A"/>
    <w:rsid w:val="00BB7862"/>
    <w:rsid w:val="00C46859"/>
    <w:rsid w:val="00CD6B25"/>
    <w:rsid w:val="00CF430B"/>
    <w:rsid w:val="00D66D4B"/>
    <w:rsid w:val="00D7548A"/>
    <w:rsid w:val="00D84F9C"/>
    <w:rsid w:val="00E91161"/>
    <w:rsid w:val="00EE5964"/>
    <w:rsid w:val="00EF05E7"/>
    <w:rsid w:val="00F4676F"/>
    <w:rsid w:val="00FC7B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5354">
      <w:bodyDiv w:val="1"/>
      <w:marLeft w:val="0"/>
      <w:marRight w:val="0"/>
      <w:marTop w:val="0"/>
      <w:marBottom w:val="0"/>
      <w:divBdr>
        <w:top w:val="none" w:sz="0" w:space="0" w:color="auto"/>
        <w:left w:val="none" w:sz="0" w:space="0" w:color="auto"/>
        <w:bottom w:val="none" w:sz="0" w:space="0" w:color="auto"/>
        <w:right w:val="none" w:sz="0" w:space="0" w:color="auto"/>
      </w:divBdr>
    </w:div>
    <w:div w:id="670835861">
      <w:bodyDiv w:val="1"/>
      <w:marLeft w:val="0"/>
      <w:marRight w:val="0"/>
      <w:marTop w:val="0"/>
      <w:marBottom w:val="0"/>
      <w:divBdr>
        <w:top w:val="none" w:sz="0" w:space="0" w:color="auto"/>
        <w:left w:val="none" w:sz="0" w:space="0" w:color="auto"/>
        <w:bottom w:val="none" w:sz="0" w:space="0" w:color="auto"/>
        <w:right w:val="none" w:sz="0" w:space="0" w:color="auto"/>
      </w:divBdr>
    </w:div>
    <w:div w:id="1040402392">
      <w:bodyDiv w:val="1"/>
      <w:marLeft w:val="0"/>
      <w:marRight w:val="0"/>
      <w:marTop w:val="0"/>
      <w:marBottom w:val="0"/>
      <w:divBdr>
        <w:top w:val="none" w:sz="0" w:space="0" w:color="auto"/>
        <w:left w:val="none" w:sz="0" w:space="0" w:color="auto"/>
        <w:bottom w:val="none" w:sz="0" w:space="0" w:color="auto"/>
        <w:right w:val="none" w:sz="0" w:space="0" w:color="auto"/>
      </w:divBdr>
    </w:div>
    <w:div w:id="1113011110">
      <w:bodyDiv w:val="1"/>
      <w:marLeft w:val="0"/>
      <w:marRight w:val="0"/>
      <w:marTop w:val="0"/>
      <w:marBottom w:val="0"/>
      <w:divBdr>
        <w:top w:val="none" w:sz="0" w:space="0" w:color="auto"/>
        <w:left w:val="none" w:sz="0" w:space="0" w:color="auto"/>
        <w:bottom w:val="none" w:sz="0" w:space="0" w:color="auto"/>
        <w:right w:val="none" w:sz="0" w:space="0" w:color="auto"/>
      </w:divBdr>
    </w:div>
    <w:div w:id="1240019306">
      <w:bodyDiv w:val="1"/>
      <w:marLeft w:val="0"/>
      <w:marRight w:val="0"/>
      <w:marTop w:val="0"/>
      <w:marBottom w:val="0"/>
      <w:divBdr>
        <w:top w:val="none" w:sz="0" w:space="0" w:color="auto"/>
        <w:left w:val="none" w:sz="0" w:space="0" w:color="auto"/>
        <w:bottom w:val="none" w:sz="0" w:space="0" w:color="auto"/>
        <w:right w:val="none" w:sz="0" w:space="0" w:color="auto"/>
      </w:divBdr>
    </w:div>
    <w:div w:id="1340041591">
      <w:bodyDiv w:val="1"/>
      <w:marLeft w:val="0"/>
      <w:marRight w:val="0"/>
      <w:marTop w:val="0"/>
      <w:marBottom w:val="0"/>
      <w:divBdr>
        <w:top w:val="none" w:sz="0" w:space="0" w:color="auto"/>
        <w:left w:val="none" w:sz="0" w:space="0" w:color="auto"/>
        <w:bottom w:val="none" w:sz="0" w:space="0" w:color="auto"/>
        <w:right w:val="none" w:sz="0" w:space="0" w:color="auto"/>
      </w:divBdr>
    </w:div>
    <w:div w:id="140700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1240</Words>
  <Characters>7071</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dcterms:created xsi:type="dcterms:W3CDTF">2015-07-01T10:27:00Z</dcterms:created>
  <dcterms:modified xsi:type="dcterms:W3CDTF">2015-08-14T09:06:00Z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